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7D1" w:rsidRPr="00427B56" w:rsidRDefault="000B67D1" w:rsidP="000B67D1">
      <w:pPr>
        <w:jc w:val="center"/>
        <w:rPr>
          <w:b/>
        </w:rPr>
      </w:pPr>
      <w:r w:rsidRPr="00427B56">
        <w:rPr>
          <w:b/>
        </w:rPr>
        <w:t>O B R A Z L O Ž E N J E</w:t>
      </w:r>
    </w:p>
    <w:p w:rsidR="000B67D1" w:rsidRDefault="000B67D1" w:rsidP="000B67D1">
      <w:pPr>
        <w:ind w:firstLine="708"/>
        <w:jc w:val="both"/>
      </w:pPr>
      <w:r w:rsidRPr="00427B56">
        <w:t>Plan gospodarenja otpadom Grada Šibenika za razdoblje od 2018.- 2023. godine izradio je DVOKUT ECRO D.O.O., Trnjanska 37, iz Zagreba</w:t>
      </w:r>
      <w:r w:rsidRPr="0022249D">
        <w:t xml:space="preserve">, u suradnji s </w:t>
      </w:r>
      <w:r w:rsidR="00F0278D">
        <w:t xml:space="preserve">djelatnicima </w:t>
      </w:r>
      <w:r w:rsidR="00F0278D" w:rsidRPr="0022249D">
        <w:t>Grada Šibenika</w:t>
      </w:r>
      <w:r w:rsidR="00F0278D">
        <w:t>,</w:t>
      </w:r>
      <w:r w:rsidR="00F0278D" w:rsidRPr="0022249D">
        <w:t xml:space="preserve"> </w:t>
      </w:r>
      <w:r w:rsidRPr="0022249D">
        <w:t>predstavnici</w:t>
      </w:r>
      <w:r>
        <w:t>ma</w:t>
      </w:r>
      <w:r w:rsidR="00F0278D">
        <w:t xml:space="preserve"> Zelenog grada Šibenik </w:t>
      </w:r>
      <w:r w:rsidR="00F0278D">
        <w:t xml:space="preserve">d.o.o. </w:t>
      </w:r>
      <w:r w:rsidR="00F0278D">
        <w:t>i  Ž</w:t>
      </w:r>
      <w:bookmarkStart w:id="0" w:name="_GoBack"/>
      <w:bookmarkEnd w:id="0"/>
      <w:r w:rsidR="00F0278D">
        <w:t xml:space="preserve">CGO </w:t>
      </w:r>
      <w:proofErr w:type="spellStart"/>
      <w:r w:rsidR="00F0278D">
        <w:t>Bikarac</w:t>
      </w:r>
      <w:proofErr w:type="spellEnd"/>
      <w:r w:rsidR="00F0278D">
        <w:t xml:space="preserve"> d.o.o</w:t>
      </w:r>
      <w:r w:rsidRPr="0022249D">
        <w:t>.</w:t>
      </w:r>
      <w:r w:rsidRPr="00427B56">
        <w:t xml:space="preserve">      </w:t>
      </w:r>
    </w:p>
    <w:p w:rsidR="000B67D1" w:rsidRDefault="000B67D1" w:rsidP="000B67D1">
      <w:pPr>
        <w:jc w:val="both"/>
        <w:rPr>
          <w:b/>
        </w:rPr>
      </w:pPr>
      <w:r>
        <w:rPr>
          <w:b/>
        </w:rPr>
        <w:t>POLAZIŠTA ZA IZRADU PLANA</w:t>
      </w:r>
    </w:p>
    <w:p w:rsidR="000B67D1" w:rsidRPr="004E336E" w:rsidRDefault="000B67D1" w:rsidP="000B67D1">
      <w:pPr>
        <w:pStyle w:val="TekstDE"/>
      </w:pPr>
      <w:r w:rsidRPr="00CD6374">
        <w:rPr>
          <w:b/>
        </w:rPr>
        <w:t xml:space="preserve">    </w:t>
      </w:r>
      <w:r w:rsidRPr="004E336E">
        <w:t>Polazišta za izradu Plana gospodarenja otpadom Grada Šibenika su pravno-zakonodavni okvir Republike Hrvatske i Europske unije, međunarodni ugovori, državni strateški dokumenti gospodarenja otpadom, planski dokumenti gospodarenja otpadom (državni i županijski), prostorno-planska dokumentacija (državna, županijska, lokalna), pravni akti lokalne samouprave i projektni zadatak. Plan je izrađen i na temelju informacija dobivenih od gradskih službi i poduzeća koji su na području grada važni sudionici u gospodarenju otpadom.</w:t>
      </w:r>
    </w:p>
    <w:p w:rsidR="000B67D1" w:rsidRDefault="000B67D1" w:rsidP="000B67D1">
      <w:pPr>
        <w:jc w:val="both"/>
        <w:rPr>
          <w:b/>
        </w:rPr>
      </w:pPr>
      <w:r>
        <w:rPr>
          <w:b/>
        </w:rPr>
        <w:t>PRAVNI OSNOV</w:t>
      </w:r>
    </w:p>
    <w:p w:rsidR="000B67D1" w:rsidRPr="00E25784" w:rsidRDefault="000B67D1" w:rsidP="000B67D1">
      <w:pPr>
        <w:pStyle w:val="Odlomakpopisa"/>
        <w:numPr>
          <w:ilvl w:val="0"/>
          <w:numId w:val="1"/>
        </w:numPr>
        <w:jc w:val="both"/>
      </w:pPr>
      <w:r w:rsidRPr="00E25784">
        <w:t>Zakon o održivom gospodarenju otpadom („Narodne novine,  broj 94/13 i 73/17“) ,</w:t>
      </w:r>
    </w:p>
    <w:p w:rsidR="000B67D1" w:rsidRPr="00E25784" w:rsidRDefault="000B67D1" w:rsidP="000B67D1">
      <w:pPr>
        <w:pStyle w:val="Odlomakpopisa"/>
        <w:numPr>
          <w:ilvl w:val="0"/>
          <w:numId w:val="1"/>
        </w:numPr>
        <w:jc w:val="both"/>
      </w:pPr>
      <w:r w:rsidRPr="00E25784">
        <w:t xml:space="preserve">Uredba o gospodarenju komunalnim otpadom  („Narodne novine,  broj  117/17) </w:t>
      </w:r>
    </w:p>
    <w:p w:rsidR="000B67D1" w:rsidRPr="00E25784" w:rsidRDefault="000B67D1" w:rsidP="000B67D1">
      <w:pPr>
        <w:pStyle w:val="Odlomakpopisa"/>
        <w:numPr>
          <w:ilvl w:val="0"/>
          <w:numId w:val="1"/>
        </w:numPr>
        <w:jc w:val="both"/>
      </w:pPr>
      <w:r w:rsidRPr="00E25784">
        <w:t xml:space="preserve">Pravilnik o gospodarenju otpadom („Narodne novine,  broj  117/17) </w:t>
      </w:r>
    </w:p>
    <w:p w:rsidR="000B67D1" w:rsidRPr="00E25784" w:rsidRDefault="000B67D1" w:rsidP="000B67D1">
      <w:pPr>
        <w:pStyle w:val="Odlomakpopisa"/>
        <w:numPr>
          <w:ilvl w:val="0"/>
          <w:numId w:val="1"/>
        </w:numPr>
        <w:jc w:val="both"/>
      </w:pPr>
      <w:r w:rsidRPr="00E25784">
        <w:t>Pravilnik o građevnom otpadu i otpadu koji sadrži azbest („Narodne novine, 69/16)</w:t>
      </w:r>
    </w:p>
    <w:p w:rsidR="000B67D1" w:rsidRPr="00E25784" w:rsidRDefault="000B67D1" w:rsidP="000B67D1">
      <w:pPr>
        <w:pStyle w:val="Odlomakpopisa"/>
        <w:numPr>
          <w:ilvl w:val="0"/>
          <w:numId w:val="1"/>
        </w:numPr>
        <w:jc w:val="both"/>
      </w:pPr>
      <w:r w:rsidRPr="00E25784">
        <w:t>Zakonska regulativa gospodarenja otpadom Europske unije (EU)</w:t>
      </w:r>
    </w:p>
    <w:p w:rsidR="000B67D1" w:rsidRPr="00E25784" w:rsidRDefault="000B67D1" w:rsidP="000B67D1">
      <w:pPr>
        <w:pStyle w:val="Odlomakpopisa"/>
        <w:jc w:val="both"/>
        <w:rPr>
          <w:b/>
        </w:rPr>
      </w:pPr>
      <w:r w:rsidRPr="005943FC">
        <w:rPr>
          <w:b/>
        </w:rPr>
        <w:t xml:space="preserve"> </w:t>
      </w:r>
      <w:r w:rsidRPr="00E25784">
        <w:rPr>
          <w:b/>
        </w:rPr>
        <w:t xml:space="preserve">                                             </w:t>
      </w:r>
    </w:p>
    <w:p w:rsidR="000B67D1" w:rsidRPr="00E25784" w:rsidRDefault="000B67D1" w:rsidP="000B67D1">
      <w:pPr>
        <w:jc w:val="both"/>
      </w:pPr>
      <w:r w:rsidRPr="00E25784">
        <w:t xml:space="preserve">Člancima 21. i 22. </w:t>
      </w:r>
      <w:r w:rsidRPr="00E25784">
        <w:rPr>
          <w:b/>
        </w:rPr>
        <w:t xml:space="preserve">Zakona o održivom gospodarenju otpadom </w:t>
      </w:r>
      <w:r w:rsidRPr="00E25784">
        <w:t xml:space="preserve">(„Narodne novine, 94/13 i 73/17“) propisano je: </w:t>
      </w:r>
    </w:p>
    <w:p w:rsidR="000B67D1" w:rsidRDefault="000B67D1" w:rsidP="000B67D1">
      <w:pPr>
        <w:jc w:val="center"/>
      </w:pPr>
      <w:r>
        <w:t>Članak 21.</w:t>
      </w:r>
    </w:p>
    <w:p w:rsidR="000B67D1" w:rsidRDefault="000B67D1" w:rsidP="000B67D1">
      <w:pPr>
        <w:spacing w:after="0"/>
        <w:jc w:val="both"/>
      </w:pPr>
      <w:r>
        <w:t xml:space="preserve">(1) Plan gospodarenja otpadom jedinice lokalne samouprave i Grada Zagreba sadrži najmanje sljedeće: </w:t>
      </w:r>
    </w:p>
    <w:p w:rsidR="000B67D1" w:rsidRDefault="000B67D1" w:rsidP="000B67D1">
      <w:pPr>
        <w:spacing w:after="0"/>
        <w:jc w:val="both"/>
      </w:pPr>
      <w:r>
        <w:t xml:space="preserve">1. analizu, te ocjenu stanja i potreba u gospodarenju otpadom na području jedinice lokalne samouprave, odnosno Grada Zagreba, uključujući ostvarivanje ciljeva, </w:t>
      </w:r>
    </w:p>
    <w:p w:rsidR="000B67D1" w:rsidRDefault="000B67D1" w:rsidP="000B67D1">
      <w:pPr>
        <w:spacing w:after="0"/>
        <w:jc w:val="both"/>
      </w:pPr>
      <w:r>
        <w:t xml:space="preserve">2. podatke o vrstama i količinama proizvedenog otpada, odvojeno sakupljenog otpada, odlaganju komunalnog i biorazgradivog otpada te ostvarivanju ciljeva, </w:t>
      </w:r>
    </w:p>
    <w:p w:rsidR="000B67D1" w:rsidRDefault="000B67D1" w:rsidP="000B67D1">
      <w:pPr>
        <w:spacing w:after="0"/>
        <w:jc w:val="both"/>
      </w:pPr>
      <w:r>
        <w:t xml:space="preserve">3. podatke o postojećim i planiranim građevinama i uređajima za gospodarenje otpadom te statusu sanacije neusklađenih odlagališta i lokacija onečišćenih otpadom, </w:t>
      </w:r>
    </w:p>
    <w:p w:rsidR="000B67D1" w:rsidRDefault="000B67D1" w:rsidP="000B67D1">
      <w:pPr>
        <w:spacing w:after="0"/>
        <w:jc w:val="both"/>
      </w:pPr>
      <w:r>
        <w:t xml:space="preserve">4. podatke o lokacijama odbačenog otpada i njihovom uklanjanju, </w:t>
      </w:r>
    </w:p>
    <w:p w:rsidR="000B67D1" w:rsidRDefault="000B67D1" w:rsidP="000B67D1">
      <w:pPr>
        <w:spacing w:after="0"/>
        <w:jc w:val="both"/>
      </w:pPr>
      <w:r>
        <w:t xml:space="preserve">5. mjere potrebne za ostvarenje ciljeva smanjivanja ili sprječavanja nastanka otpada, uključujući </w:t>
      </w:r>
      <w:proofErr w:type="spellStart"/>
      <w:r>
        <w:t>izobrazno</w:t>
      </w:r>
      <w:proofErr w:type="spellEnd"/>
      <w:r>
        <w:t xml:space="preserve">-informativne aktivnosti i akcije prikupljanja otpada, </w:t>
      </w:r>
    </w:p>
    <w:p w:rsidR="000B67D1" w:rsidRDefault="000B67D1" w:rsidP="000B67D1">
      <w:pPr>
        <w:spacing w:after="0"/>
        <w:jc w:val="both"/>
      </w:pPr>
      <w:r>
        <w:t xml:space="preserve">6. opće mjere za gospodarenje otpadom, opasnim otpadom i posebnim kategorijama otpada, </w:t>
      </w:r>
    </w:p>
    <w:p w:rsidR="000B67D1" w:rsidRDefault="000B67D1" w:rsidP="000B67D1">
      <w:pPr>
        <w:spacing w:after="0"/>
        <w:jc w:val="both"/>
      </w:pPr>
      <w:r>
        <w:t xml:space="preserve">7. mjere prikupljanja miješanog komunalnog otpada i biorazgradivog komunalnog otpada, </w:t>
      </w:r>
    </w:p>
    <w:p w:rsidR="000B67D1" w:rsidRDefault="000B67D1" w:rsidP="000B67D1">
      <w:pPr>
        <w:spacing w:after="0"/>
        <w:jc w:val="both"/>
      </w:pPr>
      <w:r>
        <w:t xml:space="preserve">8. mjere odvojenog prikupljanja otpadnog papira, metala, stakla i plastike te krupnog (glomaznog) komunalnog otpada, </w:t>
      </w:r>
    </w:p>
    <w:p w:rsidR="000B67D1" w:rsidRDefault="000B67D1" w:rsidP="000B67D1">
      <w:pPr>
        <w:spacing w:after="0"/>
        <w:jc w:val="both"/>
      </w:pPr>
      <w:r>
        <w:t xml:space="preserve">9. popis projekata važnih za provedbu odredbi Plana, </w:t>
      </w:r>
    </w:p>
    <w:p w:rsidR="000B67D1" w:rsidRDefault="000B67D1" w:rsidP="000B67D1">
      <w:pPr>
        <w:spacing w:after="0"/>
        <w:jc w:val="both"/>
      </w:pPr>
      <w:r>
        <w:t xml:space="preserve">10. organizacijske aspekte, izvore i visinu financijskih sredstava za provedbu mjera gospodarenja otpadom, </w:t>
      </w:r>
    </w:p>
    <w:p w:rsidR="000B67D1" w:rsidRDefault="000B67D1" w:rsidP="000B67D1">
      <w:pPr>
        <w:spacing w:after="120"/>
        <w:jc w:val="both"/>
      </w:pPr>
      <w:r>
        <w:t xml:space="preserve">11. rokove i nositelje izvršenja Plana. </w:t>
      </w:r>
    </w:p>
    <w:p w:rsidR="000B67D1" w:rsidRDefault="000B67D1" w:rsidP="000B67D1">
      <w:pPr>
        <w:jc w:val="both"/>
      </w:pPr>
      <w:r>
        <w:lastRenderedPageBreak/>
        <w:t xml:space="preserve">(2) Jedinica lokalne samouprave i Grad Zagreb dužan je za prijedlog plana gospodarenja otpadom iz stavka 1. ovoga članka ishoditi prethodnu suglasnost upravnog tijela jedinice područne (regionalne) samouprave nadležnog za poslove zaštite okoliša (u daljnjem tekstu: nadležnog upravnog tijela), odnosno Ministarstva za prijedlog plana gospodarenja otpadom Grada Zagreba.      </w:t>
      </w:r>
    </w:p>
    <w:p w:rsidR="000B67D1" w:rsidRDefault="000B67D1" w:rsidP="000B67D1">
      <w:pPr>
        <w:jc w:val="both"/>
      </w:pPr>
      <w:r>
        <w:t xml:space="preserve">(3) Nadležno upravno tijelo, odnosno Ministarstvo izdaje prethodnu suglasnost ako utvrdi da je prijedlog Plana gospodarenja otpadom jedinice lokalne samouprave, odnosno Grada Zagreba usklađen s odredbama ovoga Zakona, propisa donesenih na temelju ovoga Zakona i Plana. </w:t>
      </w:r>
    </w:p>
    <w:p w:rsidR="000B67D1" w:rsidRPr="00CD6374" w:rsidRDefault="000B67D1" w:rsidP="000B67D1">
      <w:pPr>
        <w:jc w:val="both"/>
      </w:pPr>
      <w:r w:rsidRPr="00CD6374">
        <w:t xml:space="preserve">(4) Plan gospodarenja otpadom jedinice lokalne samouprave, odnosno Grada Zagreba donosi predstavničko tijelo jedinice lokalne samouprave, odnosno Grada Zagreba i o tome obavještava Agenciju. </w:t>
      </w:r>
    </w:p>
    <w:p w:rsidR="000B67D1" w:rsidRPr="00CD6374" w:rsidRDefault="000B67D1" w:rsidP="000B67D1">
      <w:pPr>
        <w:jc w:val="both"/>
      </w:pPr>
      <w:r w:rsidRPr="00CD6374">
        <w:t xml:space="preserve">(5) Plan gospodarenja otpadom jedinice lokalne samouprave, odnosno Grada Zagreba donosi se za razdoblje od šest godina, a njegove izmjene i dopune po potrebi. </w:t>
      </w:r>
    </w:p>
    <w:p w:rsidR="000B67D1" w:rsidRDefault="000B67D1" w:rsidP="000B67D1">
      <w:pPr>
        <w:jc w:val="both"/>
      </w:pPr>
      <w:r>
        <w:t xml:space="preserve">(6) Plan gospodarenja otpadom jedinice lokalne samouprave, odnosno Grada Zagreba objavljuje se u službenom glasilu jedinice lokalne samouprave, odnosno Grada Zagreba. </w:t>
      </w:r>
    </w:p>
    <w:p w:rsidR="000B67D1" w:rsidRPr="00FB492C" w:rsidRDefault="000B67D1" w:rsidP="000B67D1">
      <w:pPr>
        <w:jc w:val="center"/>
        <w:rPr>
          <w:b/>
        </w:rPr>
      </w:pPr>
      <w:r w:rsidRPr="00FB492C">
        <w:rPr>
          <w:b/>
        </w:rPr>
        <w:t>Članak 22.</w:t>
      </w:r>
    </w:p>
    <w:p w:rsidR="000B67D1" w:rsidRPr="00427B56" w:rsidRDefault="000B67D1" w:rsidP="000B67D1">
      <w:pPr>
        <w:jc w:val="both"/>
      </w:pPr>
      <w:r w:rsidRPr="00427B56">
        <w:t xml:space="preserve">(1) Nacrt Plana i nacrt plana gospodarenja otpadom jedinice lokalne samouprave i Grada Zagreba objavljuje se radi pribavljanja mišljenja, prijedloga i primjedbi javnosti. </w:t>
      </w:r>
    </w:p>
    <w:p w:rsidR="000B67D1" w:rsidRPr="00427B56" w:rsidRDefault="000B67D1" w:rsidP="000B67D1">
      <w:pPr>
        <w:jc w:val="both"/>
      </w:pPr>
      <w:r>
        <w:t xml:space="preserve">(2) Posredstvom medija Ministarstvo, odnosno jedinice lokalne samouprave i Grad Zagreb izvješćuju javnost o mjestu na kojem je nacrt Plana i nacrt plana gospodarenja otpadom jedinice lokalne samouprave i Grada Zagreba dostupan te načinu i vremenu iznošenja mišljenja, prijedloga i </w:t>
      </w:r>
      <w:r w:rsidRPr="00427B56">
        <w:t xml:space="preserve">primjedbi. </w:t>
      </w:r>
    </w:p>
    <w:p w:rsidR="000B67D1" w:rsidRDefault="000B67D1" w:rsidP="000B67D1">
      <w:pPr>
        <w:jc w:val="both"/>
      </w:pPr>
      <w:r w:rsidRPr="00427B56">
        <w:t>(3) Rok u kojem javnost može iznositi primjedbe, prijedloge i mišljenja ne može biti kraći od 30 dana od dana objave</w:t>
      </w:r>
      <w:r w:rsidRPr="00FB492C">
        <w:rPr>
          <w:b/>
        </w:rPr>
        <w:t>.</w:t>
      </w:r>
      <w:r>
        <w:t xml:space="preserve"> </w:t>
      </w:r>
    </w:p>
    <w:p w:rsidR="000B67D1" w:rsidRDefault="000B67D1" w:rsidP="000B67D1">
      <w:pPr>
        <w:rPr>
          <w:b/>
        </w:rPr>
      </w:pPr>
    </w:p>
    <w:p w:rsidR="000B67D1" w:rsidRDefault="000B67D1" w:rsidP="000B67D1">
      <w:pPr>
        <w:rPr>
          <w:b/>
        </w:rPr>
      </w:pPr>
      <w:r>
        <w:rPr>
          <w:b/>
        </w:rPr>
        <w:t>SVRHA IZRADE PLANA</w:t>
      </w:r>
    </w:p>
    <w:p w:rsidR="000B67D1" w:rsidRPr="004E336E" w:rsidRDefault="000B67D1" w:rsidP="000B67D1">
      <w:pPr>
        <w:pStyle w:val="TekstDE"/>
      </w:pPr>
      <w:r w:rsidRPr="004E336E">
        <w:t xml:space="preserve">Svrha donošenja Plana gospodarenja otpada prema načelima EU je definirati okvir za održivo gospodarenje otpadom koje obuhvaća skup aktivnosti, odluka i mjera usmjerenih na sprječavanje nastanka otpada, smanjivanje količine otpada, provedbu skupljanja, prijevoza, </w:t>
      </w:r>
      <w:proofErr w:type="spellStart"/>
      <w:r w:rsidRPr="004E336E">
        <w:t>oporabe</w:t>
      </w:r>
      <w:proofErr w:type="spellEnd"/>
      <w:r w:rsidRPr="004E336E">
        <w:t xml:space="preserve">, zbrinjavanja i drugih djelatnosti vezano za otpad, nadzor nad obavljanjem tih djelatnosti kao i briga za odlagališta koja su zatvorena. </w:t>
      </w:r>
    </w:p>
    <w:p w:rsidR="000B67D1" w:rsidRDefault="000B67D1" w:rsidP="000B67D1">
      <w:pPr>
        <w:rPr>
          <w:b/>
        </w:rPr>
      </w:pPr>
      <w:r>
        <w:rPr>
          <w:b/>
        </w:rPr>
        <w:t>CILJEVI KOJI SE PLANIRAJU POSTIĆI PROVEDBOM PLANA</w:t>
      </w:r>
    </w:p>
    <w:p w:rsidR="000B67D1" w:rsidRPr="004E336E" w:rsidRDefault="000B67D1" w:rsidP="000B67D1">
      <w:pPr>
        <w:spacing w:after="0"/>
        <w:jc w:val="both"/>
      </w:pPr>
      <w:r w:rsidRPr="004E336E">
        <w:t>1. Uspostava sustava za zaprimanje obavijesti o nepropisno odbačenom otpad</w:t>
      </w:r>
      <w:r>
        <w:t>u</w:t>
      </w:r>
      <w:r w:rsidRPr="004E336E">
        <w:t>,</w:t>
      </w:r>
    </w:p>
    <w:p w:rsidR="000B67D1" w:rsidRPr="004E336E" w:rsidRDefault="000B67D1" w:rsidP="000B67D1">
      <w:pPr>
        <w:spacing w:after="0"/>
        <w:jc w:val="both"/>
      </w:pPr>
      <w:r w:rsidRPr="004E336E">
        <w:t>2. Unaprijediti postojeći sustav gospodarenja komunalnim otpadom,</w:t>
      </w:r>
    </w:p>
    <w:p w:rsidR="000B67D1" w:rsidRPr="004E336E" w:rsidRDefault="000B67D1" w:rsidP="000B67D1">
      <w:pPr>
        <w:spacing w:after="0"/>
        <w:jc w:val="both"/>
      </w:pPr>
      <w:r w:rsidRPr="004E336E">
        <w:t>4. Unaprijediti sustav gospodarenja posebnim kategorijama otpada,</w:t>
      </w:r>
    </w:p>
    <w:p w:rsidR="000B67D1" w:rsidRPr="004E336E" w:rsidRDefault="000B67D1" w:rsidP="000B67D1">
      <w:pPr>
        <w:jc w:val="both"/>
      </w:pPr>
      <w:r w:rsidRPr="004E336E">
        <w:t xml:space="preserve">5. Sanirati lokacije onečišćene otpadom. </w:t>
      </w:r>
    </w:p>
    <w:p w:rsidR="000B67D1" w:rsidRDefault="000B67D1" w:rsidP="000B67D1">
      <w:pPr>
        <w:spacing w:after="0"/>
      </w:pPr>
    </w:p>
    <w:p w:rsidR="000B67D1" w:rsidRDefault="000B67D1" w:rsidP="000B67D1">
      <w:pPr>
        <w:rPr>
          <w:b/>
        </w:rPr>
      </w:pPr>
    </w:p>
    <w:p w:rsidR="000B67D1" w:rsidRPr="003D6297" w:rsidRDefault="000B67D1" w:rsidP="000B67D1">
      <w:pPr>
        <w:rPr>
          <w:b/>
        </w:rPr>
      </w:pPr>
      <w:r>
        <w:rPr>
          <w:b/>
        </w:rPr>
        <w:lastRenderedPageBreak/>
        <w:t>SREDSTVA ZA PROVOĐENJE ODLUKE</w:t>
      </w:r>
    </w:p>
    <w:p w:rsidR="000B67D1" w:rsidRDefault="000B67D1" w:rsidP="000B67D1">
      <w:pPr>
        <w:pStyle w:val="Lista-strelica"/>
        <w:numPr>
          <w:ilvl w:val="1"/>
          <w:numId w:val="2"/>
        </w:numPr>
        <w:tabs>
          <w:tab w:val="num" w:pos="360"/>
        </w:tabs>
        <w:spacing w:line="276" w:lineRule="auto"/>
        <w:ind w:left="567" w:hanging="283"/>
      </w:pPr>
      <w:r>
        <w:t>Proračun Republike Hrvatske</w:t>
      </w:r>
    </w:p>
    <w:p w:rsidR="000B67D1" w:rsidRPr="004E336E" w:rsidRDefault="000B67D1" w:rsidP="000B67D1">
      <w:pPr>
        <w:pStyle w:val="Lista-strelica"/>
        <w:numPr>
          <w:ilvl w:val="1"/>
          <w:numId w:val="2"/>
        </w:numPr>
        <w:tabs>
          <w:tab w:val="num" w:pos="360"/>
        </w:tabs>
        <w:spacing w:line="276" w:lineRule="auto"/>
        <w:ind w:left="567" w:hanging="283"/>
      </w:pPr>
      <w:r w:rsidRPr="004E336E">
        <w:t xml:space="preserve">financijska sredstva Fonda za zaštitu okoliša i energetsku učinkovitost </w:t>
      </w:r>
    </w:p>
    <w:p w:rsidR="000B67D1" w:rsidRPr="004E336E" w:rsidRDefault="000B67D1" w:rsidP="000B67D1">
      <w:pPr>
        <w:pStyle w:val="Lista-strelica"/>
        <w:numPr>
          <w:ilvl w:val="1"/>
          <w:numId w:val="2"/>
        </w:numPr>
        <w:tabs>
          <w:tab w:val="num" w:pos="360"/>
        </w:tabs>
        <w:spacing w:line="276" w:lineRule="auto"/>
        <w:ind w:left="567" w:hanging="283"/>
      </w:pPr>
      <w:r>
        <w:t xml:space="preserve">proračun </w:t>
      </w:r>
      <w:r w:rsidRPr="004E336E">
        <w:t xml:space="preserve">Šibensko -kninske županije </w:t>
      </w:r>
    </w:p>
    <w:p w:rsidR="000B67D1" w:rsidRDefault="000B67D1" w:rsidP="000B67D1">
      <w:pPr>
        <w:pStyle w:val="Lista-strelica"/>
        <w:numPr>
          <w:ilvl w:val="1"/>
          <w:numId w:val="2"/>
        </w:numPr>
        <w:tabs>
          <w:tab w:val="num" w:pos="360"/>
        </w:tabs>
        <w:spacing w:line="276" w:lineRule="auto"/>
        <w:ind w:left="567" w:hanging="283"/>
      </w:pPr>
      <w:r w:rsidRPr="004E336E">
        <w:t>proraču</w:t>
      </w:r>
      <w:r>
        <w:t xml:space="preserve">n jedinice lokalne samouprave </w:t>
      </w:r>
    </w:p>
    <w:p w:rsidR="000B67D1" w:rsidRPr="004E336E" w:rsidRDefault="000B67D1" w:rsidP="000B67D1">
      <w:pPr>
        <w:pStyle w:val="Lista-strelica"/>
        <w:numPr>
          <w:ilvl w:val="1"/>
          <w:numId w:val="2"/>
        </w:numPr>
        <w:tabs>
          <w:tab w:val="num" w:pos="360"/>
        </w:tabs>
        <w:spacing w:line="276" w:lineRule="auto"/>
        <w:ind w:left="567" w:hanging="283"/>
      </w:pPr>
      <w:r>
        <w:t xml:space="preserve">proračunska sredstva tvrtki „Zeleni grad Šibenik d.o.o. i ŽCGO </w:t>
      </w:r>
      <w:proofErr w:type="spellStart"/>
      <w:r>
        <w:t>Bikarac</w:t>
      </w:r>
      <w:proofErr w:type="spellEnd"/>
    </w:p>
    <w:p w:rsidR="000B67D1" w:rsidRPr="004E336E" w:rsidRDefault="000B67D1" w:rsidP="000B67D1">
      <w:pPr>
        <w:spacing w:before="120"/>
        <w:jc w:val="both"/>
      </w:pPr>
      <w:r w:rsidRPr="004E336E">
        <w:t xml:space="preserve">Drugi izvori financiranja mogu se ostvariti: </w:t>
      </w:r>
    </w:p>
    <w:p w:rsidR="000B67D1" w:rsidRPr="004E336E" w:rsidRDefault="000B67D1" w:rsidP="000B67D1">
      <w:pPr>
        <w:pStyle w:val="Lista-strelica"/>
        <w:numPr>
          <w:ilvl w:val="1"/>
          <w:numId w:val="2"/>
        </w:numPr>
        <w:tabs>
          <w:tab w:val="num" w:pos="360"/>
        </w:tabs>
        <w:spacing w:line="276" w:lineRule="auto"/>
        <w:ind w:left="567" w:hanging="283"/>
      </w:pPr>
      <w:r w:rsidRPr="004E336E">
        <w:t>osiguranjem sredstava putem kreditne linije, a ista se vraćaju iz sredstava osiguranim kroz povećanu naknadu za komunalne usluge,</w:t>
      </w:r>
    </w:p>
    <w:p w:rsidR="000B67D1" w:rsidRPr="004E336E" w:rsidRDefault="000B67D1" w:rsidP="000B67D1">
      <w:pPr>
        <w:pStyle w:val="Lista-strelica"/>
        <w:numPr>
          <w:ilvl w:val="1"/>
          <w:numId w:val="2"/>
        </w:numPr>
        <w:tabs>
          <w:tab w:val="num" w:pos="360"/>
        </w:tabs>
        <w:spacing w:line="276" w:lineRule="auto"/>
        <w:ind w:left="567" w:hanging="283"/>
      </w:pPr>
      <w:r w:rsidRPr="004E336E">
        <w:t xml:space="preserve">vlastitim izvorima i sredstvima iz povećane naknade koju plaćaju domaćinstva za komunalnu uslugu postupanja krutim otpadom (prema načelu „onečišćivač plaća“), </w:t>
      </w:r>
    </w:p>
    <w:p w:rsidR="000B67D1" w:rsidRPr="004E336E" w:rsidRDefault="000B67D1" w:rsidP="000B67D1">
      <w:pPr>
        <w:pStyle w:val="Lista-strelica"/>
        <w:numPr>
          <w:ilvl w:val="1"/>
          <w:numId w:val="2"/>
        </w:numPr>
        <w:tabs>
          <w:tab w:val="num" w:pos="360"/>
        </w:tabs>
        <w:spacing w:line="276" w:lineRule="auto"/>
        <w:ind w:left="567" w:hanging="283"/>
      </w:pPr>
      <w:r w:rsidRPr="004E336E">
        <w:t>koncesijom ili drugom oblikom javno-privatnog partnerstva,</w:t>
      </w:r>
    </w:p>
    <w:p w:rsidR="000B67D1" w:rsidRPr="004E336E" w:rsidRDefault="000B67D1" w:rsidP="000B67D1">
      <w:pPr>
        <w:pStyle w:val="Lista-strelica"/>
        <w:numPr>
          <w:ilvl w:val="1"/>
          <w:numId w:val="2"/>
        </w:numPr>
        <w:tabs>
          <w:tab w:val="num" w:pos="360"/>
        </w:tabs>
        <w:spacing w:line="276" w:lineRule="auto"/>
        <w:ind w:left="567" w:hanging="283"/>
      </w:pPr>
      <w:r w:rsidRPr="004E336E">
        <w:t xml:space="preserve">donacijama i </w:t>
      </w:r>
    </w:p>
    <w:p w:rsidR="000B67D1" w:rsidRPr="004E336E" w:rsidRDefault="000B67D1" w:rsidP="000B67D1">
      <w:pPr>
        <w:pStyle w:val="Lista-strelica"/>
        <w:numPr>
          <w:ilvl w:val="1"/>
          <w:numId w:val="2"/>
        </w:numPr>
        <w:tabs>
          <w:tab w:val="num" w:pos="360"/>
        </w:tabs>
        <w:spacing w:line="276" w:lineRule="auto"/>
        <w:ind w:left="567" w:hanging="283"/>
      </w:pPr>
      <w:r w:rsidRPr="004E336E">
        <w:t xml:space="preserve">kroz strukturne fondove EU. </w:t>
      </w:r>
    </w:p>
    <w:p w:rsidR="006303D5" w:rsidRDefault="006303D5" w:rsidP="000B67D1">
      <w:pPr>
        <w:ind w:firstLine="708"/>
        <w:jc w:val="both"/>
        <w:rPr>
          <w:b/>
        </w:rPr>
      </w:pPr>
    </w:p>
    <w:p w:rsidR="000B67D1" w:rsidRPr="001676AA" w:rsidRDefault="000B67D1" w:rsidP="006303D5">
      <w:pPr>
        <w:jc w:val="both"/>
      </w:pPr>
      <w:r w:rsidRPr="001676AA">
        <w:t xml:space="preserve">Plan gospodarenja otpadom Grada Šibenika za razdoblje od 2018.- 2023.   sadrži mjere, podatke, popise, organizacijske aspekte, izvore i visinu financijskih sredstava za provedbu mjera gospodarenja otpadom, rokove i nositelje izvršenja Plana koji su propisani uvodno navedenim člankom 21. stavkom 1. Zakona o održivom gospodarenju otpadom. </w:t>
      </w:r>
    </w:p>
    <w:p w:rsidR="006303D5" w:rsidRDefault="006303D5" w:rsidP="000B67D1">
      <w:pPr>
        <w:ind w:firstLine="708"/>
        <w:jc w:val="both"/>
        <w:rPr>
          <w:b/>
          <w:i/>
        </w:rPr>
      </w:pPr>
    </w:p>
    <w:p w:rsidR="000B67D1" w:rsidRPr="00F01216" w:rsidRDefault="000B67D1" w:rsidP="000B67D1">
      <w:pPr>
        <w:ind w:firstLine="708"/>
        <w:jc w:val="both"/>
        <w:rPr>
          <w:b/>
          <w:i/>
        </w:rPr>
      </w:pPr>
      <w:r w:rsidRPr="00F01216">
        <w:rPr>
          <w:b/>
          <w:i/>
        </w:rPr>
        <w:t xml:space="preserve">Predlažemo Gradonačelniku kao ovlaštenom predlagatelju, da razmotri Prijedlog Odluke o donošenju Plana gospodarenja otpadom Grada Šibenika za razdoblje od 2018. do 2023. godine čiji je sastavni dio Plan gospodarenja otpadom Grada Šibenika za razdoblje od 2018. do 2023. godine, te da Prijedlog odluke i Plan gospodarenja otpadom utvrdi u predloženom tekstu i proslijedi Gradskom vijeću na odlučivanje. </w:t>
      </w:r>
    </w:p>
    <w:p w:rsidR="000B67D1" w:rsidRPr="00CD6374" w:rsidRDefault="000B67D1" w:rsidP="000B67D1">
      <w:pPr>
        <w:ind w:firstLine="708"/>
        <w:jc w:val="both"/>
        <w:rPr>
          <w:b/>
        </w:rPr>
      </w:pPr>
    </w:p>
    <w:p w:rsidR="000B67D1" w:rsidRPr="001676AA" w:rsidRDefault="000B67D1" w:rsidP="000B67D1">
      <w:pPr>
        <w:ind w:firstLine="708"/>
        <w:jc w:val="right"/>
      </w:pPr>
      <w:r w:rsidRPr="001676AA">
        <w:t>PROČELNICA</w:t>
      </w:r>
    </w:p>
    <w:p w:rsidR="000B67D1" w:rsidRPr="001676AA" w:rsidRDefault="000B67D1" w:rsidP="000B67D1">
      <w:pPr>
        <w:ind w:firstLine="708"/>
        <w:jc w:val="right"/>
      </w:pPr>
      <w:r w:rsidRPr="001676AA">
        <w:t xml:space="preserve">Madlena </w:t>
      </w:r>
      <w:proofErr w:type="spellStart"/>
      <w:r w:rsidRPr="001676AA">
        <w:t>Roša</w:t>
      </w:r>
      <w:proofErr w:type="spellEnd"/>
      <w:r w:rsidRPr="001676AA">
        <w:t xml:space="preserve"> </w:t>
      </w:r>
      <w:proofErr w:type="spellStart"/>
      <w:r w:rsidRPr="001676AA">
        <w:t>Dulibić</w:t>
      </w:r>
      <w:proofErr w:type="spellEnd"/>
      <w:r w:rsidRPr="001676AA">
        <w:t>, dipl. ing. arh.</w:t>
      </w:r>
    </w:p>
    <w:p w:rsidR="00834617" w:rsidRDefault="00834617"/>
    <w:sectPr w:rsidR="008346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6268B"/>
    <w:multiLevelType w:val="hybridMultilevel"/>
    <w:tmpl w:val="F31C00E6"/>
    <w:lvl w:ilvl="0" w:tplc="B854DEA4">
      <w:start w:val="3"/>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78A53419"/>
    <w:multiLevelType w:val="hybridMultilevel"/>
    <w:tmpl w:val="CC682D6E"/>
    <w:lvl w:ilvl="0" w:tplc="041A000F">
      <w:start w:val="1"/>
      <w:numFmt w:val="decimal"/>
      <w:lvlText w:val="%1."/>
      <w:lvlJc w:val="left"/>
      <w:pPr>
        <w:ind w:left="720" w:hanging="360"/>
      </w:pPr>
    </w:lvl>
    <w:lvl w:ilvl="1" w:tplc="041A0001">
      <w:start w:val="1"/>
      <w:numFmt w:val="bullet"/>
      <w:lvlText w:val=""/>
      <w:lvlJc w:val="left"/>
      <w:pPr>
        <w:ind w:left="360" w:hanging="360"/>
      </w:pPr>
      <w:rPr>
        <w:rFonts w:ascii="Symbol" w:hAnsi="Symbol" w:hint="default"/>
      </w:rPr>
    </w:lvl>
    <w:lvl w:ilvl="2" w:tplc="041A001B" w:tentative="1">
      <w:start w:val="1"/>
      <w:numFmt w:val="lowerRoman"/>
      <w:lvlText w:val="%3."/>
      <w:lvlJc w:val="right"/>
      <w:pPr>
        <w:ind w:left="2160" w:hanging="180"/>
      </w:pPr>
    </w:lvl>
    <w:lvl w:ilvl="3" w:tplc="041A0001">
      <w:start w:val="1"/>
      <w:numFmt w:val="bullet"/>
      <w:lvlText w:val=""/>
      <w:lvlJc w:val="left"/>
      <w:pPr>
        <w:ind w:left="2880" w:hanging="360"/>
      </w:pPr>
      <w:rPr>
        <w:rFonts w:ascii="Symbol" w:hAnsi="Symbol"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7D1"/>
    <w:rsid w:val="000B67D1"/>
    <w:rsid w:val="00365305"/>
    <w:rsid w:val="006303D5"/>
    <w:rsid w:val="00834617"/>
    <w:rsid w:val="00F0278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7D1"/>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Lista-strelica">
    <w:name w:val="Lista-strelica"/>
    <w:basedOn w:val="Normal"/>
    <w:qFormat/>
    <w:rsid w:val="000B67D1"/>
    <w:pPr>
      <w:tabs>
        <w:tab w:val="left" w:pos="567"/>
      </w:tabs>
      <w:spacing w:before="60" w:after="60" w:line="240" w:lineRule="auto"/>
      <w:contextualSpacing/>
      <w:jc w:val="both"/>
    </w:pPr>
    <w:rPr>
      <w:rFonts w:ascii="Calibri" w:eastAsia="Calibri" w:hAnsi="Calibri" w:cs="Times New Roman"/>
    </w:rPr>
  </w:style>
  <w:style w:type="paragraph" w:customStyle="1" w:styleId="TekstDE">
    <w:name w:val="Tekst DE"/>
    <w:basedOn w:val="Normal"/>
    <w:link w:val="TekstDEChar"/>
    <w:qFormat/>
    <w:rsid w:val="000B67D1"/>
    <w:pPr>
      <w:spacing w:before="120" w:line="240" w:lineRule="auto"/>
      <w:jc w:val="both"/>
    </w:pPr>
    <w:rPr>
      <w:rFonts w:ascii="Calibri" w:eastAsia="Calibri" w:hAnsi="Calibri" w:cs="Times New Roman"/>
    </w:rPr>
  </w:style>
  <w:style w:type="character" w:customStyle="1" w:styleId="TekstDEChar">
    <w:name w:val="Tekst DE Char"/>
    <w:link w:val="TekstDE"/>
    <w:rsid w:val="000B67D1"/>
    <w:rPr>
      <w:rFonts w:ascii="Calibri" w:eastAsia="Calibri" w:hAnsi="Calibri" w:cs="Times New Roman"/>
    </w:rPr>
  </w:style>
  <w:style w:type="paragraph" w:styleId="Odlomakpopisa">
    <w:name w:val="List Paragraph"/>
    <w:basedOn w:val="Normal"/>
    <w:uiPriority w:val="34"/>
    <w:qFormat/>
    <w:rsid w:val="000B67D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7D1"/>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Lista-strelica">
    <w:name w:val="Lista-strelica"/>
    <w:basedOn w:val="Normal"/>
    <w:qFormat/>
    <w:rsid w:val="000B67D1"/>
    <w:pPr>
      <w:tabs>
        <w:tab w:val="left" w:pos="567"/>
      </w:tabs>
      <w:spacing w:before="60" w:after="60" w:line="240" w:lineRule="auto"/>
      <w:contextualSpacing/>
      <w:jc w:val="both"/>
    </w:pPr>
    <w:rPr>
      <w:rFonts w:ascii="Calibri" w:eastAsia="Calibri" w:hAnsi="Calibri" w:cs="Times New Roman"/>
    </w:rPr>
  </w:style>
  <w:style w:type="paragraph" w:customStyle="1" w:styleId="TekstDE">
    <w:name w:val="Tekst DE"/>
    <w:basedOn w:val="Normal"/>
    <w:link w:val="TekstDEChar"/>
    <w:qFormat/>
    <w:rsid w:val="000B67D1"/>
    <w:pPr>
      <w:spacing w:before="120" w:line="240" w:lineRule="auto"/>
      <w:jc w:val="both"/>
    </w:pPr>
    <w:rPr>
      <w:rFonts w:ascii="Calibri" w:eastAsia="Calibri" w:hAnsi="Calibri" w:cs="Times New Roman"/>
    </w:rPr>
  </w:style>
  <w:style w:type="character" w:customStyle="1" w:styleId="TekstDEChar">
    <w:name w:val="Tekst DE Char"/>
    <w:link w:val="TekstDE"/>
    <w:rsid w:val="000B67D1"/>
    <w:rPr>
      <w:rFonts w:ascii="Calibri" w:eastAsia="Calibri" w:hAnsi="Calibri" w:cs="Times New Roman"/>
    </w:rPr>
  </w:style>
  <w:style w:type="paragraph" w:styleId="Odlomakpopisa">
    <w:name w:val="List Paragraph"/>
    <w:basedOn w:val="Normal"/>
    <w:uiPriority w:val="34"/>
    <w:qFormat/>
    <w:rsid w:val="000B67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996</Words>
  <Characters>5683</Characters>
  <Application>Microsoft Office Word</Application>
  <DocSecurity>0</DocSecurity>
  <Lines>47</Lines>
  <Paragraphs>13</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6666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Grcić</dc:creator>
  <cp:lastModifiedBy>Anita Grcić</cp:lastModifiedBy>
  <cp:revision>2</cp:revision>
  <dcterms:created xsi:type="dcterms:W3CDTF">2018-05-04T11:44:00Z</dcterms:created>
  <dcterms:modified xsi:type="dcterms:W3CDTF">2018-05-04T12:03:00Z</dcterms:modified>
</cp:coreProperties>
</file>